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b/>
          <w:bCs/>
          <w:sz w:val="36"/>
          <w:szCs w:val="36"/>
        </w:rPr>
      </w:pPr>
      <w:r>
        <w:rPr>
          <w:rFonts w:hint="eastAsia"/>
          <w:b/>
          <w:bCs/>
          <w:sz w:val="36"/>
          <w:szCs w:val="36"/>
        </w:rPr>
        <w:t>附件2</w:t>
      </w:r>
    </w:p>
    <w:p>
      <w:pPr>
        <w:pStyle w:val="5"/>
      </w:pPr>
    </w:p>
    <w:p>
      <w:pPr>
        <w:autoSpaceDE w:val="0"/>
        <w:spacing w:line="560" w:lineRule="exact"/>
        <w:jc w:val="center"/>
        <w:rPr>
          <w:rFonts w:hint="eastAsia" w:ascii="方正小标宋简体" w:eastAsia="方正小标宋简体"/>
          <w:sz w:val="44"/>
          <w:szCs w:val="44"/>
          <w:lang w:eastAsia="zh-CN"/>
        </w:rPr>
      </w:pPr>
      <w:r>
        <w:rPr>
          <w:rFonts w:hint="eastAsia" w:ascii="方正小标宋简体" w:hAnsi="黑体" w:eastAsia="方正小标宋简体"/>
          <w:sz w:val="36"/>
          <w:szCs w:val="36"/>
        </w:rPr>
        <w:t>《</w:t>
      </w:r>
      <w:r>
        <w:rPr>
          <w:rFonts w:hint="eastAsia" w:ascii="Times New Roman" w:hAnsi="Times New Roman" w:eastAsia="方正小标宋简体"/>
          <w:kern w:val="0"/>
          <w:sz w:val="44"/>
          <w:szCs w:val="44"/>
          <w:shd w:val="clear" w:color="auto" w:fill="FFFFFF"/>
          <w:lang w:bidi="ar"/>
        </w:rPr>
        <w:t>德化县有序推进</w:t>
      </w:r>
      <w:r>
        <w:rPr>
          <w:rFonts w:ascii="Times New Roman" w:hAnsi="Times New Roman" w:eastAsia="方正小标宋简体"/>
          <w:kern w:val="0"/>
          <w:sz w:val="44"/>
          <w:szCs w:val="44"/>
          <w:shd w:val="clear" w:color="auto" w:fill="FFFFFF"/>
          <w:lang w:bidi="ar"/>
        </w:rPr>
        <w:t>农村集中建房</w:t>
      </w:r>
      <w:r>
        <w:rPr>
          <w:rFonts w:hint="eastAsia" w:ascii="Times New Roman" w:hAnsi="Times New Roman" w:eastAsia="方正小标宋简体"/>
          <w:kern w:val="0"/>
          <w:sz w:val="44"/>
          <w:szCs w:val="44"/>
          <w:shd w:val="clear" w:color="auto" w:fill="FFFFFF"/>
          <w:lang w:bidi="ar"/>
        </w:rPr>
        <w:t>工作的实施</w:t>
      </w:r>
      <w:r>
        <w:rPr>
          <w:rFonts w:ascii="Times New Roman" w:hAnsi="Times New Roman" w:eastAsia="方正小标宋简体"/>
          <w:kern w:val="0"/>
          <w:sz w:val="44"/>
          <w:szCs w:val="44"/>
          <w:shd w:val="clear" w:color="auto" w:fill="FFFFFF"/>
          <w:lang w:bidi="ar"/>
        </w:rPr>
        <w:t>方案</w:t>
      </w:r>
      <w:r>
        <w:rPr>
          <w:rFonts w:hint="eastAsia" w:ascii="Times New Roman" w:hAnsi="Times New Roman" w:eastAsia="方正小标宋简体"/>
          <w:kern w:val="0"/>
          <w:sz w:val="44"/>
          <w:szCs w:val="44"/>
          <w:shd w:val="clear" w:color="auto" w:fill="FFFFFF"/>
          <w:lang w:bidi="ar"/>
        </w:rPr>
        <w:t>（试行）</w:t>
      </w:r>
      <w:r>
        <w:rPr>
          <w:rFonts w:hint="eastAsia" w:ascii="方正小标宋简体" w:hAnsi="黑体" w:eastAsia="方正小标宋简体"/>
          <w:sz w:val="36"/>
          <w:szCs w:val="36"/>
        </w:rPr>
        <w:t>》</w:t>
      </w:r>
      <w:r>
        <w:rPr>
          <w:rFonts w:hint="eastAsia" w:ascii="方正小标宋简体" w:hAnsi="黑体" w:eastAsia="方正小标宋简体"/>
          <w:sz w:val="44"/>
          <w:szCs w:val="44"/>
        </w:rPr>
        <w:t>的</w:t>
      </w:r>
      <w:r>
        <w:rPr>
          <w:rFonts w:hint="eastAsia" w:ascii="方正小标宋简体" w:hAnsi="黑体" w:eastAsia="方正小标宋简体"/>
          <w:sz w:val="44"/>
          <w:szCs w:val="44"/>
          <w:lang w:eastAsia="zh-CN"/>
        </w:rPr>
        <w:t>政策解读</w:t>
      </w:r>
    </w:p>
    <w:p>
      <w:pPr>
        <w:spacing w:line="520" w:lineRule="exact"/>
      </w:pPr>
    </w:p>
    <w:p>
      <w:pPr>
        <w:spacing w:line="440" w:lineRule="exact"/>
        <w:rPr>
          <w:rFonts w:hint="eastAsia" w:ascii="仿宋_GB2312" w:eastAsia="仿宋_GB2312"/>
          <w:sz w:val="32"/>
          <w:szCs w:val="32"/>
        </w:rPr>
      </w:pPr>
      <w:r>
        <w:rPr>
          <w:rFonts w:hint="eastAsia" w:ascii="仿宋_GB2312" w:eastAsia="仿宋_GB2312"/>
          <w:b/>
          <w:sz w:val="32"/>
          <w:szCs w:val="32"/>
        </w:rPr>
        <w:t xml:space="preserve">    一、起草单位：</w:t>
      </w:r>
      <w:r>
        <w:rPr>
          <w:rFonts w:hint="eastAsia" w:ascii="仿宋_GB2312" w:eastAsia="仿宋_GB2312"/>
          <w:sz w:val="32"/>
          <w:szCs w:val="32"/>
        </w:rPr>
        <w:t>县农业农村局。</w:t>
      </w:r>
    </w:p>
    <w:p>
      <w:pPr>
        <w:pStyle w:val="7"/>
        <w:shd w:val="clear" w:color="auto" w:fill="FFFFFF"/>
        <w:ind w:firstLine="480"/>
        <w:rPr>
          <w:rFonts w:ascii="仿宋_GB2312" w:hAnsi="Times New Roman" w:eastAsia="仿宋_GB2312" w:cs="Times New Roman"/>
          <w:kern w:val="2"/>
          <w:sz w:val="32"/>
          <w:szCs w:val="32"/>
        </w:rPr>
      </w:pPr>
      <w:r>
        <w:rPr>
          <w:rFonts w:hint="eastAsia" w:ascii="仿宋_GB2312" w:eastAsia="仿宋_GB2312"/>
          <w:b/>
          <w:sz w:val="32"/>
          <w:szCs w:val="32"/>
        </w:rPr>
        <w:t xml:space="preserve"> 二、目的意义：</w:t>
      </w:r>
      <w:r>
        <w:rPr>
          <w:rFonts w:ascii="Times New Roman" w:hAnsi="Times New Roman" w:eastAsia="仿宋_GB2312"/>
          <w:sz w:val="32"/>
          <w:szCs w:val="32"/>
        </w:rPr>
        <w:t>为切实盘活利用农村闲置宅基地、危旧农房，推动农村集体建设用地集约节约利用，解决群众户有所居的实际需求和“人多地少”的实际矛盾，</w:t>
      </w:r>
    </w:p>
    <w:p>
      <w:pPr>
        <w:spacing w:line="440" w:lineRule="exact"/>
        <w:ind w:firstLine="643" w:firstLineChars="200"/>
        <w:rPr>
          <w:rFonts w:hint="eastAsia" w:ascii="仿宋_GB2312" w:eastAsia="仿宋_GB2312"/>
          <w:sz w:val="32"/>
          <w:szCs w:val="32"/>
        </w:rPr>
      </w:pPr>
      <w:r>
        <w:rPr>
          <w:rFonts w:hint="eastAsia" w:ascii="仿宋_GB2312" w:eastAsia="仿宋_GB2312"/>
          <w:b/>
          <w:sz w:val="32"/>
          <w:szCs w:val="32"/>
        </w:rPr>
        <w:t>三、征求意见情况：</w:t>
      </w:r>
      <w:r>
        <w:rPr>
          <w:rFonts w:hint="eastAsia" w:ascii="仿宋_GB2312" w:eastAsia="仿宋_GB2312"/>
          <w:sz w:val="32"/>
          <w:szCs w:val="32"/>
        </w:rPr>
        <w:t>该《实施意见》初稿起草完成后，征求意见稿向全县18个乡镇人民政府、县自然资源局、县住建局等单位和部门征求意见，征求意见中未收到重大分歧。</w:t>
      </w:r>
    </w:p>
    <w:p>
      <w:pPr>
        <w:spacing w:line="570" w:lineRule="exact"/>
        <w:ind w:firstLine="643" w:firstLineChars="200"/>
        <w:rPr>
          <w:rStyle w:val="10"/>
          <w:rFonts w:ascii="黑体" w:hAnsi="楷体" w:eastAsia="黑体"/>
          <w:color w:val="000000"/>
          <w:sz w:val="32"/>
          <w:szCs w:val="32"/>
        </w:rPr>
      </w:pPr>
      <w:r>
        <w:rPr>
          <w:rFonts w:hint="eastAsia" w:ascii="仿宋_GB2312" w:eastAsia="仿宋_GB2312"/>
          <w:b/>
          <w:sz w:val="32"/>
          <w:szCs w:val="32"/>
        </w:rPr>
        <w:t>四、主要内容：</w:t>
      </w:r>
      <w:r>
        <w:rPr>
          <w:rStyle w:val="10"/>
          <w:rFonts w:ascii="黑体" w:hAnsi="楷体" w:eastAsia="黑体"/>
          <w:color w:val="000000"/>
          <w:sz w:val="32"/>
          <w:szCs w:val="32"/>
        </w:rPr>
        <w:t xml:space="preserve"> </w:t>
      </w:r>
    </w:p>
    <w:p>
      <w:pPr>
        <w:spacing w:line="570" w:lineRule="exact"/>
        <w:ind w:firstLine="640" w:firstLineChars="200"/>
        <w:rPr>
          <w:rFonts w:hint="eastAsia" w:ascii="仿宋_GB2312" w:hAnsi="仿宋" w:eastAsia="仿宋_GB2312"/>
        </w:rPr>
      </w:pPr>
      <w:r>
        <w:rPr>
          <w:rStyle w:val="10"/>
          <w:rFonts w:hint="eastAsia" w:ascii="仿宋_GB2312" w:hAnsi="仿宋" w:eastAsia="仿宋_GB2312"/>
          <w:color w:val="000000"/>
          <w:sz w:val="32"/>
          <w:szCs w:val="32"/>
        </w:rPr>
        <w:t>共分五部分，包括基本原则；审批程序；组织架构及职责分工；保障措施；附则</w:t>
      </w:r>
      <w:r>
        <w:rPr>
          <w:rFonts w:hint="eastAsia" w:ascii="仿宋_GB2312" w:hAnsi="仿宋" w:eastAsia="仿宋_GB2312"/>
          <w:color w:val="000000"/>
          <w:sz w:val="32"/>
          <w:szCs w:val="32"/>
        </w:rPr>
        <w:t>。</w:t>
      </w:r>
      <w:r>
        <w:rPr>
          <w:rFonts w:hint="eastAsia" w:ascii="仿宋" w:hAnsi="仿宋" w:eastAsia="仿宋_GB2312"/>
          <w:color w:val="000000"/>
          <w:sz w:val="32"/>
          <w:szCs w:val="32"/>
        </w:rPr>
        <w:t xml:space="preserve"> </w:t>
      </w:r>
    </w:p>
    <w:p>
      <w:pPr>
        <w:rPr>
          <w:rFonts w:ascii="楷体_GB2312" w:hAnsi="楷体_GB2312" w:eastAsia="楷体_GB2312" w:cs="楷体_GB2312"/>
          <w:b/>
          <w:bCs/>
          <w:sz w:val="32"/>
          <w:szCs w:val="32"/>
        </w:rPr>
      </w:pPr>
      <w:r>
        <w:rPr>
          <w:rFonts w:hint="eastAsia" w:ascii="仿宋_GB2312" w:hAnsi="仿宋" w:eastAsia="仿宋_GB2312"/>
          <w:b/>
          <w:color w:val="000000"/>
          <w:sz w:val="32"/>
          <w:szCs w:val="32"/>
        </w:rPr>
        <w:t xml:space="preserve">   第一部分基本原则</w:t>
      </w:r>
      <w:r>
        <w:rPr>
          <w:rFonts w:hint="eastAsia" w:ascii="仿宋_GB2312" w:hAnsi="仿宋" w:eastAsia="仿宋_GB2312"/>
          <w:color w:val="000000"/>
          <w:sz w:val="32"/>
          <w:szCs w:val="32"/>
        </w:rPr>
        <w:t>。</w:t>
      </w:r>
      <w:r>
        <w:rPr>
          <w:rFonts w:hint="eastAsia" w:ascii="楷体_GB2312" w:hAnsi="楷体_GB2312" w:eastAsia="楷体_GB2312" w:cs="楷体_GB2312"/>
          <w:b/>
          <w:bCs/>
          <w:sz w:val="32"/>
          <w:szCs w:val="32"/>
        </w:rPr>
        <w:t>（一）为更好地落实乡村振兴战略，优化土地资源配置，集约节约利用土地资源。</w:t>
      </w:r>
      <w:r>
        <w:rPr>
          <w:rFonts w:ascii="楷体_GB2312" w:hAnsi="楷体_GB2312" w:eastAsia="楷体_GB2312" w:cs="楷体_GB2312"/>
          <w:b/>
          <w:bCs/>
          <w:sz w:val="32"/>
          <w:szCs w:val="32"/>
        </w:rPr>
        <w:t>（二）农村集中建房</w:t>
      </w:r>
      <w:r>
        <w:rPr>
          <w:rFonts w:hint="eastAsia" w:ascii="楷体_GB2312" w:hAnsi="楷体_GB2312" w:eastAsia="楷体_GB2312" w:cs="楷体_GB2312"/>
          <w:b/>
          <w:bCs/>
          <w:sz w:val="32"/>
          <w:szCs w:val="32"/>
        </w:rPr>
        <w:t>工作实施</w:t>
      </w:r>
      <w:r>
        <w:rPr>
          <w:rFonts w:ascii="楷体_GB2312" w:hAnsi="楷体_GB2312" w:eastAsia="楷体_GB2312" w:cs="楷体_GB2312"/>
          <w:b/>
          <w:bCs/>
          <w:sz w:val="32"/>
          <w:szCs w:val="32"/>
        </w:rPr>
        <w:t>方案适用于</w:t>
      </w:r>
      <w:r>
        <w:rPr>
          <w:rFonts w:hint="eastAsia" w:ascii="楷体_GB2312" w:hAnsi="楷体_GB2312" w:eastAsia="楷体_GB2312" w:cs="楷体_GB2312"/>
          <w:b/>
          <w:bCs/>
          <w:sz w:val="32"/>
          <w:szCs w:val="32"/>
        </w:rPr>
        <w:t>县</w:t>
      </w:r>
      <w:r>
        <w:rPr>
          <w:rFonts w:ascii="楷体_GB2312" w:hAnsi="楷体_GB2312" w:eastAsia="楷体_GB2312" w:cs="楷体_GB2312"/>
          <w:b/>
          <w:bCs/>
          <w:sz w:val="32"/>
          <w:szCs w:val="32"/>
        </w:rPr>
        <w:t>中心规划区和镇区规划区范围外的区域。</w:t>
      </w:r>
    </w:p>
    <w:p>
      <w:pPr>
        <w:rPr>
          <w:rFonts w:ascii="楷体_GB2312" w:hAnsi="楷体_GB2312" w:eastAsia="楷体_GB2312" w:cs="楷体_GB2312"/>
          <w:b/>
          <w:bCs/>
          <w:sz w:val="32"/>
          <w:szCs w:val="32"/>
        </w:rPr>
      </w:pPr>
      <w:r>
        <w:rPr>
          <w:rFonts w:hint="eastAsia" w:ascii="仿宋_GB2312" w:hAnsi="华文仿宋" w:eastAsia="仿宋_GB2312"/>
          <w:color w:val="000000"/>
          <w:sz w:val="32"/>
          <w:szCs w:val="32"/>
        </w:rPr>
        <w:t xml:space="preserve">   </w:t>
      </w:r>
      <w:r>
        <w:rPr>
          <w:rFonts w:hint="eastAsia" w:ascii="仿宋_GB2312" w:eastAsia="仿宋_GB2312"/>
          <w:b/>
          <w:kern w:val="0"/>
          <w:sz w:val="32"/>
          <w:szCs w:val="32"/>
        </w:rPr>
        <w:t>第二部分为</w:t>
      </w:r>
      <w:r>
        <w:rPr>
          <w:rFonts w:ascii="Times New Roman" w:hAnsi="Times New Roman" w:eastAsia="黑体"/>
          <w:sz w:val="32"/>
          <w:szCs w:val="32"/>
        </w:rPr>
        <w:t>审批程序</w:t>
      </w:r>
      <w:r>
        <w:rPr>
          <w:rFonts w:hint="eastAsia" w:ascii="仿宋_GB2312" w:eastAsia="仿宋_GB2312"/>
          <w:kern w:val="0"/>
          <w:sz w:val="32"/>
          <w:szCs w:val="32"/>
        </w:rPr>
        <w:t>。</w:t>
      </w:r>
      <w:r>
        <w:rPr>
          <w:rFonts w:ascii="楷体_GB2312" w:hAnsi="楷体_GB2312" w:eastAsia="楷体_GB2312" w:cs="楷体_GB2312"/>
          <w:b/>
          <w:bCs/>
          <w:sz w:val="32"/>
          <w:szCs w:val="32"/>
        </w:rPr>
        <w:t>（一）申请主体。（二）编制建设方案。（三）方案审核及上报。（四）编制项目修建性详细规划和建筑方案设计。（五）项目备案。（六）用地审批。（七）办理施工许可。（八）竣工验收</w:t>
      </w:r>
      <w:r>
        <w:rPr>
          <w:rFonts w:hint="eastAsia" w:ascii="楷体_GB2312" w:hAnsi="楷体_GB2312" w:eastAsia="楷体_GB2312" w:cs="楷体_GB2312"/>
          <w:b/>
          <w:bCs/>
          <w:sz w:val="32"/>
          <w:szCs w:val="32"/>
        </w:rPr>
        <w:t>。</w:t>
      </w:r>
      <w:r>
        <w:rPr>
          <w:rFonts w:ascii="楷体_GB2312" w:hAnsi="楷体_GB2312" w:eastAsia="楷体_GB2312" w:cs="楷体_GB2312"/>
          <w:b/>
          <w:bCs/>
          <w:sz w:val="32"/>
          <w:szCs w:val="32"/>
        </w:rPr>
        <w:t>（九）不动产登记。</w:t>
      </w:r>
    </w:p>
    <w:p>
      <w:pPr>
        <w:spacing w:line="600" w:lineRule="exact"/>
        <w:ind w:firstLine="643" w:firstLineChars="200"/>
        <w:rPr>
          <w:rFonts w:hint="eastAsia" w:ascii="Times New Roman" w:hAnsi="Times New Roman" w:eastAsia="黑体"/>
          <w:sz w:val="32"/>
          <w:szCs w:val="32"/>
        </w:rPr>
      </w:pPr>
      <w:r>
        <w:rPr>
          <w:rFonts w:hint="eastAsia" w:ascii="仿宋_GB2312" w:eastAsia="仿宋_GB2312"/>
          <w:b/>
          <w:kern w:val="0"/>
          <w:sz w:val="32"/>
          <w:szCs w:val="32"/>
        </w:rPr>
        <w:t>第三部分为</w:t>
      </w:r>
      <w:r>
        <w:rPr>
          <w:rFonts w:ascii="Times New Roman" w:hAnsi="Times New Roman" w:eastAsia="黑体"/>
          <w:sz w:val="32"/>
          <w:szCs w:val="32"/>
        </w:rPr>
        <w:t>组织架构及职责分工</w:t>
      </w:r>
      <w:r>
        <w:rPr>
          <w:rFonts w:hint="eastAsia" w:ascii="Times New Roman" w:hAnsi="Times New Roman" w:eastAsia="黑体"/>
          <w:sz w:val="32"/>
          <w:szCs w:val="32"/>
        </w:rPr>
        <w:t>。</w:t>
      </w:r>
    </w:p>
    <w:p>
      <w:pPr>
        <w:spacing w:line="60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（一）组织架构</w:t>
      </w:r>
      <w:r>
        <w:rPr>
          <w:rFonts w:hint="eastAsia" w:ascii="楷体_GB2312" w:hAnsi="楷体_GB2312" w:eastAsia="楷体_GB2312" w:cs="楷体_GB2312"/>
          <w:b/>
          <w:bCs/>
          <w:sz w:val="32"/>
          <w:szCs w:val="32"/>
        </w:rPr>
        <w:t>。</w:t>
      </w:r>
      <w:r>
        <w:rPr>
          <w:rFonts w:ascii="楷体_GB2312" w:hAnsi="楷体_GB2312" w:eastAsia="楷体_GB2312" w:cs="楷体_GB2312"/>
          <w:b/>
          <w:bCs/>
          <w:sz w:val="32"/>
          <w:szCs w:val="32"/>
        </w:rPr>
        <w:t>（二）职责分工</w:t>
      </w:r>
    </w:p>
    <w:p>
      <w:pPr>
        <w:adjustRightInd w:val="0"/>
        <w:snapToGrid w:val="0"/>
        <w:spacing w:line="600" w:lineRule="exact"/>
        <w:ind w:firstLine="643" w:firstLineChars="200"/>
        <w:outlineLvl w:val="0"/>
        <w:rPr>
          <w:rFonts w:hint="eastAsia" w:ascii="仿宋_GB2312" w:eastAsia="仿宋_GB2312"/>
          <w:b/>
          <w:kern w:val="0"/>
          <w:sz w:val="32"/>
          <w:szCs w:val="32"/>
        </w:rPr>
      </w:pPr>
      <w:r>
        <w:rPr>
          <w:rFonts w:hint="eastAsia" w:ascii="仿宋_GB2312" w:eastAsia="仿宋_GB2312"/>
          <w:b/>
          <w:kern w:val="0"/>
          <w:sz w:val="32"/>
          <w:szCs w:val="32"/>
        </w:rPr>
        <w:t>第四部分为</w:t>
      </w:r>
      <w:r>
        <w:rPr>
          <w:rFonts w:ascii="Times New Roman" w:hAnsi="Times New Roman" w:eastAsia="黑体"/>
          <w:sz w:val="32"/>
          <w:szCs w:val="32"/>
        </w:rPr>
        <w:t>保障措施</w:t>
      </w:r>
      <w:r>
        <w:rPr>
          <w:rFonts w:hint="eastAsia" w:ascii="仿宋_GB2312" w:eastAsia="仿宋_GB2312"/>
          <w:b/>
          <w:kern w:val="0"/>
          <w:sz w:val="32"/>
          <w:szCs w:val="32"/>
        </w:rPr>
        <w:t>。</w:t>
      </w:r>
    </w:p>
    <w:p>
      <w:pPr>
        <w:ind w:firstLine="321" w:firstLineChars="100"/>
        <w:rPr>
          <w:rFonts w:hint="eastAsia" w:ascii="仿宋_GB2312" w:eastAsia="仿宋_GB2312" w:cs="宋体"/>
          <w:kern w:val="0"/>
          <w:sz w:val="32"/>
          <w:szCs w:val="32"/>
        </w:rPr>
      </w:pPr>
      <w:r>
        <w:rPr>
          <w:rFonts w:ascii="楷体_GB2312" w:hAnsi="楷体_GB2312" w:eastAsia="楷体_GB2312" w:cs="楷体_GB2312"/>
          <w:b/>
          <w:bCs/>
          <w:sz w:val="32"/>
          <w:szCs w:val="32"/>
        </w:rPr>
        <w:t>（一）政策保障。（二）用地保障。（三）金融保障。（四）批后监管。</w:t>
      </w:r>
    </w:p>
    <w:p>
      <w:pPr>
        <w:adjustRightInd w:val="0"/>
        <w:snapToGrid w:val="0"/>
        <w:spacing w:line="600" w:lineRule="exact"/>
        <w:ind w:firstLine="643" w:firstLineChars="200"/>
        <w:outlineLvl w:val="0"/>
        <w:rPr>
          <w:rFonts w:hint="eastAsia" w:ascii="Times New Roman" w:hAnsi="Times New Roman" w:eastAsia="黑体"/>
          <w:sz w:val="32"/>
          <w:szCs w:val="32"/>
        </w:rPr>
      </w:pPr>
      <w:r>
        <w:rPr>
          <w:rFonts w:hint="eastAsia" w:ascii="仿宋_GB2312" w:eastAsia="仿宋_GB2312"/>
          <w:b/>
          <w:kern w:val="0"/>
          <w:sz w:val="32"/>
          <w:szCs w:val="32"/>
        </w:rPr>
        <w:t>第五部分为</w:t>
      </w:r>
      <w:r>
        <w:rPr>
          <w:rFonts w:ascii="Times New Roman" w:hAnsi="Times New Roman" w:eastAsia="黑体"/>
          <w:sz w:val="32"/>
          <w:szCs w:val="32"/>
        </w:rPr>
        <w:t>附则</w:t>
      </w:r>
      <w:r>
        <w:rPr>
          <w:rFonts w:hint="eastAsia" w:ascii="Times New Roman" w:hAnsi="Times New Roman" w:eastAsia="黑体"/>
          <w:sz w:val="32"/>
          <w:szCs w:val="32"/>
        </w:rPr>
        <w:t>。</w:t>
      </w:r>
    </w:p>
    <w:p>
      <w:pPr>
        <w:adjustRightInd w:val="0"/>
        <w:snapToGrid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规划许可证需通过福建省国土空间用途管制管理系统配号。</w:t>
      </w:r>
    </w:p>
    <w:p>
      <w:pPr>
        <w:adjustRightInd w:val="0"/>
        <w:snapToGrid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农村集中建房严格落实“一户一宅”政策，严禁出现“小产权”现象。</w:t>
      </w:r>
    </w:p>
    <w:p>
      <w:pPr>
        <w:adjustRightInd w:val="0"/>
        <w:snapToGrid w:val="0"/>
        <w:spacing w:line="600" w:lineRule="exact"/>
        <w:ind w:firstLine="640" w:firstLineChars="200"/>
        <w:outlineLvl w:val="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w:t>
      </w:r>
      <w:r>
        <w:rPr>
          <w:rFonts w:ascii="Times New Roman" w:hAnsi="Times New Roman" w:eastAsia="仿宋_GB2312"/>
          <w:sz w:val="32"/>
          <w:szCs w:val="32"/>
        </w:rPr>
        <w:t>本指导方案自印发之日起施行，有效期</w:t>
      </w:r>
      <w:r>
        <w:rPr>
          <w:rFonts w:hint="eastAsia" w:ascii="Times New Roman" w:hAnsi="Times New Roman" w:eastAsia="仿宋_GB2312"/>
          <w:sz w:val="32"/>
          <w:szCs w:val="32"/>
        </w:rPr>
        <w:t>三</w:t>
      </w:r>
      <w:r>
        <w:rPr>
          <w:rFonts w:ascii="Times New Roman" w:hAnsi="Times New Roman" w:eastAsia="仿宋_GB2312"/>
          <w:sz w:val="32"/>
          <w:szCs w:val="32"/>
        </w:rPr>
        <w:t>年</w:t>
      </w:r>
      <w:r>
        <w:rPr>
          <w:rFonts w:hint="eastAsia" w:ascii="Times New Roman" w:hAnsi="Times New Roman" w:eastAsia="仿宋_GB2312"/>
          <w:sz w:val="32"/>
          <w:szCs w:val="32"/>
        </w:rPr>
        <w:t>，</w:t>
      </w:r>
      <w:r>
        <w:rPr>
          <w:rFonts w:ascii="Times New Roman" w:hAnsi="Times New Roman" w:eastAsia="仿宋_GB2312"/>
          <w:sz w:val="32"/>
          <w:szCs w:val="32"/>
        </w:rPr>
        <w:t>具体解释工作由</w:t>
      </w:r>
      <w:r>
        <w:rPr>
          <w:rFonts w:hint="eastAsia" w:ascii="Times New Roman" w:hAnsi="Times New Roman" w:eastAsia="仿宋_GB2312"/>
          <w:sz w:val="32"/>
          <w:szCs w:val="32"/>
        </w:rPr>
        <w:t>县</w:t>
      </w:r>
      <w:r>
        <w:rPr>
          <w:rFonts w:ascii="Times New Roman" w:hAnsi="Times New Roman" w:eastAsia="仿宋_GB2312"/>
          <w:sz w:val="32"/>
          <w:szCs w:val="32"/>
        </w:rPr>
        <w:t>农业农村局会同相关部门承担。如遇相关法律法规和政策条款修订变更或废止，按新修订条款执行</w:t>
      </w:r>
      <w:r>
        <w:rPr>
          <w:rFonts w:hint="eastAsia" w:ascii="Times New Roman" w:hAnsi="Times New Roman" w:eastAsia="仿宋_GB2312"/>
          <w:sz w:val="32"/>
          <w:szCs w:val="32"/>
          <w:lang w:eastAsia="zh-CN"/>
        </w:rPr>
        <w:t>。</w:t>
      </w:r>
    </w:p>
    <w:p>
      <w:pPr>
        <w:rPr>
          <w:rFonts w:hint="eastAsia" w:ascii="仿宋_GB2312" w:hAnsi="仿宋_GB2312" w:eastAsia="仿宋_GB2312" w:cs="仿宋_GB2312"/>
          <w:sz w:val="32"/>
          <w:szCs w:val="32"/>
        </w:rPr>
      </w:pPr>
      <w:r>
        <w:rPr>
          <w:rFonts w:hint="eastAsia" w:ascii="仿宋_GB2312" w:eastAsia="仿宋_GB2312"/>
          <w:sz w:val="30"/>
          <w:szCs w:val="30"/>
        </w:rPr>
        <w:t xml:space="preserve">    </w:t>
      </w:r>
      <w:r>
        <w:rPr>
          <w:rFonts w:hint="eastAsia"/>
        </w:rPr>
        <w:t xml:space="preserve"> </w:t>
      </w:r>
      <w:r>
        <w:rPr>
          <w:rFonts w:hint="eastAsia" w:ascii="仿宋_GB2312" w:eastAsia="仿宋_GB2312"/>
          <w:b/>
          <w:sz w:val="32"/>
          <w:szCs w:val="32"/>
        </w:rPr>
        <w:t>五、制定依据：</w:t>
      </w:r>
      <w:r>
        <w:rPr>
          <w:rFonts w:hint="eastAsia" w:ascii="仿宋_GB2312" w:hAnsi="仿宋_GB2312" w:eastAsia="仿宋_GB2312" w:cs="仿宋_GB2312"/>
          <w:sz w:val="32"/>
          <w:szCs w:val="32"/>
        </w:rPr>
        <w:t>《福建省人民政府关于进一步加强农村宅基地和村民住宅建设管理的若干意见（试行）》（闽政〔2</w:t>
      </w:r>
      <w:bookmarkStart w:id="0" w:name="_GoBack"/>
      <w:bookmarkEnd w:id="0"/>
      <w:r>
        <w:rPr>
          <w:rFonts w:hint="eastAsia" w:ascii="仿宋_GB2312" w:hAnsi="仿宋_GB2312" w:eastAsia="仿宋_GB2312" w:cs="仿宋_GB2312"/>
          <w:sz w:val="32"/>
          <w:szCs w:val="32"/>
        </w:rPr>
        <w:t>021〕2号）、《泉州市人民政府办公室关于有序推进农村村民集中建房工作的实施意见》（泉政办规〔2023〕5号）等文件精神。</w:t>
      </w:r>
    </w:p>
    <w:p>
      <w:pPr>
        <w:pStyle w:val="7"/>
        <w:keepNext w:val="0"/>
        <w:keepLines w:val="0"/>
        <w:widowControl/>
        <w:suppressLineNumbers w:val="0"/>
        <w:shd w:val="clear" w:fill="FFFFFF"/>
        <w:spacing w:before="0" w:beforeAutospacing="0" w:after="0" w:afterAutospacing="0" w:line="384" w:lineRule="atLeast"/>
        <w:ind w:left="0" w:firstLine="0"/>
        <w:rPr>
          <w:rFonts w:hint="eastAsia" w:ascii="仿宋_GB2312" w:hAnsi="Calibri" w:eastAsia="仿宋_GB2312" w:cs="Times New Roman"/>
          <w:b/>
          <w:kern w:val="2"/>
          <w:sz w:val="32"/>
          <w:szCs w:val="32"/>
          <w:lang w:val="en-US" w:eastAsia="zh-CN" w:bidi="ar-SA"/>
        </w:rPr>
      </w:pPr>
      <w:r>
        <w:rPr>
          <w:rFonts w:hint="eastAsia" w:ascii="仿宋_GB2312" w:hAnsi="Calibri" w:eastAsia="仿宋_GB2312" w:cs="Times New Roman"/>
          <w:b/>
          <w:kern w:val="2"/>
          <w:sz w:val="32"/>
          <w:szCs w:val="32"/>
          <w:lang w:val="en-US" w:eastAsia="zh-CN" w:bidi="ar-SA"/>
        </w:rPr>
        <w:t>六、联系方式</w:t>
      </w:r>
    </w:p>
    <w:p>
      <w:pPr>
        <w:pStyle w:val="7"/>
        <w:keepNext w:val="0"/>
        <w:keepLines w:val="0"/>
        <w:widowControl/>
        <w:suppressLineNumbers w:val="0"/>
        <w:shd w:val="clear" w:fill="FFFFFF"/>
        <w:spacing w:before="0" w:beforeAutospacing="0" w:after="0" w:afterAutospacing="0" w:line="384" w:lineRule="atLeast"/>
        <w:ind w:lef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联系地址：德化县龙浔镇宝美街8号</w:t>
      </w:r>
    </w:p>
    <w:p>
      <w:pPr>
        <w:pStyle w:val="7"/>
        <w:keepNext w:val="0"/>
        <w:keepLines w:val="0"/>
        <w:widowControl/>
        <w:suppressLineNumbers w:val="0"/>
        <w:shd w:val="clear" w:fill="FFFFFF"/>
        <w:spacing w:before="0" w:beforeAutospacing="0" w:after="0" w:afterAutospacing="0" w:line="384" w:lineRule="atLeast"/>
        <w:ind w:lef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联系电话：0595-23522475</w:t>
      </w:r>
    </w:p>
    <w:p>
      <w:pPr>
        <w:pStyle w:val="2"/>
        <w:rPr>
          <w:rFonts w:hint="eastAsia" w:eastAsia="仿宋_GB2312"/>
          <w:lang w:eastAsia="zh-CN"/>
        </w:rPr>
      </w:pPr>
    </w:p>
    <w:p>
      <w:pPr>
        <w:spacing w:line="44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ZmM3MGI0ODRkNmMxMDlkOWMxYTk0ZTVkMDYzNWQifQ=="/>
  </w:docVars>
  <w:rsids>
    <w:rsidRoot w:val="623E48F8"/>
    <w:rsid w:val="25BE30F8"/>
    <w:rsid w:val="623E48F8"/>
    <w:rsid w:val="6398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uiPriority w:val="0"/>
    <w:pPr>
      <w:spacing w:after="120"/>
      <w:ind w:left="200" w:leftChars="200"/>
    </w:pPr>
  </w:style>
  <w:style w:type="paragraph" w:styleId="4">
    <w:name w:val="Plain Text"/>
    <w:basedOn w:val="1"/>
    <w:qFormat/>
    <w:uiPriority w:val="0"/>
    <w:pPr>
      <w:widowControl w:val="0"/>
      <w:autoSpaceDE w:val="0"/>
      <w:autoSpaceDN w:val="0"/>
      <w:snapToGrid/>
      <w:jc w:val="both"/>
    </w:pPr>
    <w:rPr>
      <w:rFonts w:ascii="Times New Roman" w:hAnsi="Times New Roman" w:eastAsia="宋体" w:cs="Times New Roman"/>
      <w:sz w:val="21"/>
      <w:szCs w:val="21"/>
    </w:rPr>
  </w:style>
  <w:style w:type="paragraph" w:styleId="5">
    <w:name w:val="Body Text"/>
    <w:basedOn w:val="1"/>
    <w:qFormat/>
    <w:uiPriority w:val="0"/>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24"/>
      <w:szCs w:val="24"/>
    </w:rPr>
  </w:style>
  <w:style w:type="character" w:customStyle="1" w:styleId="10">
    <w:name w:val="16"/>
    <w:basedOn w:val="9"/>
    <w:qFormat/>
    <w:uiPriority w:val="0"/>
    <w:rPr>
      <w:rFonts w:hint="default" w:ascii="Calibri" w:hAnsi="Calibri" w:eastAsia="宋体"/>
      <w:kern w:val="2"/>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3801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2023-10-13T09:24:00Z</dcterms:created>
  <dc:creator>沙漏</dc:creator>
  <cp:lastModifiedBy>沙漏</cp:lastModifiedBy>
  <dcterms:modified xsi:type="dcterms:W3CDTF">2023-10-16T01:44:07Z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35739E683F1D47979CAC962162713BC5_11</vt:lpwstr>
  </property>
</Properties>
</file>